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天水市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专业人员名录库</w:t>
      </w:r>
    </w:p>
    <w:p>
      <w:pPr>
        <w:jc w:val="both"/>
        <w:rPr>
          <w:rFonts w:hint="default" w:ascii="Times New Roman" w:hAnsi="Times New Roman" w:eastAsia="文鼎CS大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  <w:t>表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b w:val="0"/>
          <w:bCs/>
          <w:sz w:val="52"/>
          <w:szCs w:val="52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default" w:ascii="Times New Roman" w:hAnsi="Times New Roman" w:eastAsia="仿宋_GB2312" w:cs="Times New Roman"/>
          <w:position w:val="22"/>
          <w:sz w:val="36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position w:val="22"/>
          <w:sz w:val="36"/>
          <w:szCs w:val="32"/>
        </w:rPr>
        <w:t>姓         名</w:t>
      </w:r>
      <w:r>
        <w:rPr>
          <w:rFonts w:hint="default" w:ascii="Times New Roman" w:hAnsi="Times New Roman" w:eastAsia="仿宋_GB2312" w:cs="Times New Roman"/>
          <w:position w:val="22"/>
          <w:sz w:val="36"/>
          <w:szCs w:val="32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position w:val="22"/>
          <w:sz w:val="36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default" w:ascii="Times New Roman" w:hAnsi="Times New Roman" w:eastAsia="仿宋_GB2312" w:cs="Times New Roman"/>
          <w:position w:val="16"/>
          <w:sz w:val="36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position w:val="16"/>
          <w:sz w:val="36"/>
          <w:szCs w:val="32"/>
        </w:rPr>
        <w:t xml:space="preserve">单        </w:t>
      </w:r>
      <w:r>
        <w:rPr>
          <w:rFonts w:hint="default" w:ascii="Times New Roman" w:hAnsi="Times New Roman" w:cs="Times New Roman"/>
          <w:position w:val="16"/>
          <w:sz w:val="36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position w:val="16"/>
          <w:sz w:val="36"/>
          <w:szCs w:val="32"/>
        </w:rPr>
        <w:t>位</w:t>
      </w:r>
      <w:r>
        <w:rPr>
          <w:rFonts w:hint="default" w:ascii="Times New Roman" w:hAnsi="Times New Roman" w:eastAsia="仿宋_GB2312" w:cs="Times New Roman"/>
          <w:position w:val="16"/>
          <w:sz w:val="36"/>
          <w:szCs w:val="32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88" w:firstLineChars="300"/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</w:rPr>
      </w:pP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</w:rPr>
        <w:t>专业人员类别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u w:val="single"/>
        </w:rPr>
        <w:t xml:space="preserve">                    </w:t>
      </w:r>
    </w:p>
    <w:p>
      <w:pPr>
        <w:spacing w:before="156" w:beforeLines="50" w:after="156" w:afterLines="50" w:line="240" w:lineRule="auto"/>
        <w:ind w:firstLine="1188" w:firstLineChars="300"/>
        <w:rPr>
          <w:rFonts w:hint="default" w:ascii="Times New Roman" w:hAnsi="Times New Roman" w:eastAsia="仿宋_GB2312" w:cs="Times New Roman"/>
          <w:sz w:val="36"/>
          <w:szCs w:val="32"/>
        </w:rPr>
      </w:pP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lang w:eastAsia="zh-CN"/>
        </w:rPr>
        <w:t>式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w w:val="110"/>
          <w:position w:val="16"/>
          <w:sz w:val="36"/>
          <w:szCs w:val="32"/>
        </w:rPr>
        <w:t xml:space="preserve">          </w:t>
      </w:r>
    </w:p>
    <w:p>
      <w:pPr>
        <w:ind w:firstLine="1800"/>
        <w:rPr>
          <w:rFonts w:hint="default" w:ascii="Times New Roman" w:hAnsi="Times New Roman" w:eastAsia="仿宋_GB2312" w:cs="Times New Roman"/>
          <w:sz w:val="36"/>
          <w:szCs w:val="32"/>
        </w:rPr>
      </w:pPr>
      <w:r>
        <w:rPr>
          <w:rFonts w:hint="default" w:ascii="Times New Roman" w:hAnsi="Times New Roman" w:eastAsia="仿宋_GB2312" w:cs="Times New Roman"/>
          <w:sz w:val="36"/>
          <w:szCs w:val="32"/>
        </w:rPr>
        <w:t>填报日期：    年   月   日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 表  说  明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此表一式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份，内容可以黑色笔迹填写，也可以打印（签名、盖章除外）。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工作单位：填写全称，不得简化。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专业人员类别：法律类、财税类、生态环境类、市场监管类、金融类、知识产权类及其他（每人勾选不超过两种类别）。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报名方式：填写组织、单位或个人申请。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专业经历：填写与拟入库专业类别相关的职业履历、职称资格、教育培训、参与项目、专业著作等。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个人简历：从大学开始填起。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天水市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涉案企业合规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第三方监督评估机制专业人员报名表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</w:pPr>
    </w:p>
    <w:tbl>
      <w:tblPr>
        <w:tblStyle w:val="12"/>
        <w:tblW w:w="885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6"/>
        <w:gridCol w:w="1479"/>
        <w:gridCol w:w="1065"/>
        <w:gridCol w:w="1142"/>
        <w:gridCol w:w="73"/>
        <w:gridCol w:w="11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出生年月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学历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身份证号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职务</w:t>
            </w: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职称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评定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评定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专业类别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法律类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 xml:space="preserve">  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 xml:space="preserve">财税类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□生态环境类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□市场监管类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 xml:space="preserve"> □金融类       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 xml:space="preserve">□知识产权类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个人简历（从本科起）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专业经历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主要成果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近三年获表彰奖励情况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年内是否有不宜履职情形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所在单位资质条件、行业影响力等情况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本人意见</w:t>
            </w:r>
          </w:p>
        </w:tc>
        <w:tc>
          <w:tcPr>
            <w:tcW w:w="7650" w:type="dxa"/>
            <w:gridSpan w:val="7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本人承诺以上填报内容属实，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u w:val="none"/>
                <w:lang w:eastAsia="zh-CN"/>
              </w:rPr>
              <w:t>知悉有关利益冲突等规定要求，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自愿入库参与第三方监督评估工作，认真履职、勤勉尽责，严格遵守有关任职保密、回避、廉洁等规定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                              </w:t>
            </w:r>
          </w:p>
          <w:p>
            <w:pPr>
              <w:spacing w:line="420" w:lineRule="exact"/>
              <w:ind w:firstLine="4560" w:firstLineChars="1900"/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签名：</w:t>
            </w:r>
          </w:p>
          <w:p>
            <w:pPr>
              <w:spacing w:line="420" w:lineRule="exact"/>
              <w:ind w:firstLine="5280" w:firstLineChars="2200"/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年    月   日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单位、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意见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年 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资格审查情况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审核考察情况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社会公示情况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第三方机制管委会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审查意见</w:t>
            </w:r>
          </w:p>
        </w:tc>
        <w:tc>
          <w:tcPr>
            <w:tcW w:w="7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选任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一、什么是涉案企业合规第三方监督评估机制？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案企业合规第三方监督评估机制（以下简称第三方机制），是指人民检察院在办理涉企犯罪案件时，对符合企业合规适用条件的，交由第三方监督评估机制管理委员会（以下简称第三方机制管委会）选任组成的第三方监督评估组织（以下简称第三方组织），对涉案企业的合规承诺进行调查、评估、监督和考察。考察结果作为人民检察院依法处理案件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方机制主要适用于公司、企业等市场主体在生产经营活动中涉及的经济犯罪、职务犯罪等案件，既包括公司、企业等实施的单位犯罪案件，也包括公司、企业实际控制人、经营管理人员、关键技术人员等实施的与生产经营活动密切相关的犯罪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二、组建第三方机制专业人员名录库的依据是什么？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天水市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第三方机制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名录库，主要是根据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最高检等九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《关于建立涉案企业合规第三方监督评估机制的指导意见（试行）》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及相关配套规定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天水市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人民检察院等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家单位研究制定的《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天水市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涉案企业合规第三方监督评估机制实施办法（试行）等有关规定，并结合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天水市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实际而组建。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什么是</w:t>
      </w:r>
      <w:r>
        <w:rPr>
          <w:rFonts w:hint="default" w:ascii="Times New Roman" w:hAnsi="Times New Roman" w:eastAsia="黑体" w:cs="Times New Roman"/>
          <w:sz w:val="32"/>
          <w:szCs w:val="32"/>
        </w:rPr>
        <w:t>第三方机制专业人员名录库？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第三方机制专业人员名录库，是指由第三方机制管委会经过严格程序选任产生，具备相关领域专业知识与技能，作为第三方组织成员人选的综合性人才库。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其成员可以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包括相关领域专家学者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有关机构、行业协会、商会、社会团体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的专业人员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，也可以包括政府部门和有关政府所属事业单位具有专门知识的人员。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四、入选第三方机制专业人员名录库的主要职责是什么？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第三方机制专业人员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名录库人员的职责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是由第三方机制管委会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根据检察机关办理涉企案件需要，从名录库中分类随机抽取确定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，组成第三方组织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对涉案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企业合规计划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的制定和执行完成情况及其效果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调查、评估、监督和考察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，并将考察结果作为检察机关对案件依法作出处理的重要参考。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五、第三方机制专业人员应当履行哪些义务？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第三方组织及其组成人员应当履行下列义务：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遵纪守法，勤勉尽责，客观中立；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切实遵循保密要求，不得泄露履职过程中知悉的国家秘密、商业秘密和个人隐私；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严格遵守有关任职廉洁规定，不得利用履职便利，索取、收受贿赂或者非法侵占涉案企业、个人的财物；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不得利用履职便利，干扰涉案企业的正常经营活动；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接受第三方机制管委会及巡回检查小组的监督；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（六）履行相关回避义务。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六、第三方组织成员受到哪些利益冲突限制？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第三方组织组成人员系律师、注册会计师、税务师（注册税务师）等行业中介组织人员的，在履行第三方监督评估职责期间不得违反规定接受可能有利益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关系的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业务；在履行第三方监督评估职责结束后二年以内，上述人员及其所在中介组织不得接受涉案企业、个人或者其他有利益关系的单位、人员的业务。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、第三方机制专业人员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名录库如何管理？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第三方机制专业人员名录库及其成员的履职情况，由组建它的第三方机制管委会负责监管，同级人民检察院依法进行法律监督。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入库人员的任职期限一般为三年，经第三方机制管委会审核，期满后可以续任。第三方机制管委会对专业人员名录库实行动态管理，根据实际情况及时补充或者调整名录库人员，并予以公告。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214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C24F"/>
    <w:multiLevelType w:val="singleLevel"/>
    <w:tmpl w:val="32CEC24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2008515"/>
    <w:multiLevelType w:val="singleLevel"/>
    <w:tmpl w:val="6200851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ZjU2ZTk0OGQ0ZTljZjY0YzcxNjgyNGI2ZDY3ZmIifQ=="/>
  </w:docVars>
  <w:rsids>
    <w:rsidRoot w:val="5FCD3277"/>
    <w:rsid w:val="05A51C3A"/>
    <w:rsid w:val="05CD5D86"/>
    <w:rsid w:val="09A339CE"/>
    <w:rsid w:val="0ADB2CF4"/>
    <w:rsid w:val="108449DF"/>
    <w:rsid w:val="1202325C"/>
    <w:rsid w:val="12055BA5"/>
    <w:rsid w:val="125A3098"/>
    <w:rsid w:val="139E11B4"/>
    <w:rsid w:val="14477FB9"/>
    <w:rsid w:val="144D0021"/>
    <w:rsid w:val="1A4F1D26"/>
    <w:rsid w:val="1A78055F"/>
    <w:rsid w:val="1AFE2329"/>
    <w:rsid w:val="1BB30568"/>
    <w:rsid w:val="1CCD3D1C"/>
    <w:rsid w:val="1F8872D8"/>
    <w:rsid w:val="21771570"/>
    <w:rsid w:val="23EB7D44"/>
    <w:rsid w:val="240C2592"/>
    <w:rsid w:val="24A52C22"/>
    <w:rsid w:val="2AB64C28"/>
    <w:rsid w:val="2B033EA5"/>
    <w:rsid w:val="31F77697"/>
    <w:rsid w:val="32E173D3"/>
    <w:rsid w:val="3414047B"/>
    <w:rsid w:val="348A4B79"/>
    <w:rsid w:val="36A63F4A"/>
    <w:rsid w:val="373D3431"/>
    <w:rsid w:val="39AF20C9"/>
    <w:rsid w:val="3A224F3E"/>
    <w:rsid w:val="3B156464"/>
    <w:rsid w:val="3C9B470F"/>
    <w:rsid w:val="3DD74F30"/>
    <w:rsid w:val="3F4425A2"/>
    <w:rsid w:val="41D67B20"/>
    <w:rsid w:val="42535E84"/>
    <w:rsid w:val="44127C50"/>
    <w:rsid w:val="44AB18FE"/>
    <w:rsid w:val="4EB1136E"/>
    <w:rsid w:val="4F78577A"/>
    <w:rsid w:val="501E0D9D"/>
    <w:rsid w:val="563D3FD8"/>
    <w:rsid w:val="5C481CDA"/>
    <w:rsid w:val="5FCD3277"/>
    <w:rsid w:val="61AA75B3"/>
    <w:rsid w:val="61C275C4"/>
    <w:rsid w:val="63C9345C"/>
    <w:rsid w:val="64E07DE4"/>
    <w:rsid w:val="668D2269"/>
    <w:rsid w:val="66B9305E"/>
    <w:rsid w:val="66F36847"/>
    <w:rsid w:val="677671A1"/>
    <w:rsid w:val="6A7529A5"/>
    <w:rsid w:val="6B733D2F"/>
    <w:rsid w:val="6B7C30B9"/>
    <w:rsid w:val="701D76DA"/>
    <w:rsid w:val="759C7DD3"/>
    <w:rsid w:val="79E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5">
    <w:name w:val="caption"/>
    <w:basedOn w:val="1"/>
    <w:next w:val="1"/>
    <w:qFormat/>
    <w:uiPriority w:val="0"/>
    <w:pPr>
      <w:widowControl w:val="0"/>
      <w:spacing w:after="0" w:afterLines="0" w:afterAutospacing="0"/>
      <w:jc w:val="both"/>
    </w:pPr>
    <w:rPr>
      <w:rFonts w:ascii="Cambria" w:hAnsi="Cambria" w:eastAsia="黑体"/>
      <w:kern w:val="2"/>
      <w:sz w:val="20"/>
      <w:lang w:val="en-US" w:eastAsia="zh-CN"/>
    </w:rPr>
  </w:style>
  <w:style w:type="paragraph" w:styleId="6">
    <w:name w:val="Body Text"/>
    <w:next w:val="7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7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8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8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2028</Words>
  <Characters>2042</Characters>
  <Lines>0</Lines>
  <Paragraphs>0</Paragraphs>
  <TotalTime>0</TotalTime>
  <ScaleCrop>false</ScaleCrop>
  <LinksUpToDate>false</LinksUpToDate>
  <CharactersWithSpaces>2045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2022-05-27T06:54:00Z</dcterms:created>
  <dc:creator>X许</dc:creator>
  <cp:lastModifiedBy>腌条肥鱼</cp:lastModifiedBy>
  <dcterms:modified xsi:type="dcterms:W3CDTF">2022-06-01T08:01:48Z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9E6FD5D3BECD4C5F9B75D321A9FD8156</vt:lpwstr>
  </property>
</Properties>
</file>